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13/2020 - PREMIAÇÃO PARA PRODUTORAS INDEPENDENTES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2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